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3F" w:rsidRPr="005D01C1" w:rsidRDefault="00D40A3F" w:rsidP="00D40A3F">
      <w:pPr>
        <w:bidi/>
        <w:jc w:val="center"/>
        <w:rPr>
          <w:rFonts w:ascii="Calibri" w:eastAsia="Times New Roman" w:hAnsi="Calibri" w:cs="B Nazanin"/>
          <w:b/>
          <w:bCs/>
          <w:sz w:val="24"/>
          <w:szCs w:val="24"/>
        </w:rPr>
      </w:pPr>
      <w:r w:rsidRPr="005D01C1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عناوین نیازهای پژوهشی1401</w:t>
      </w:r>
    </w:p>
    <w:tbl>
      <w:tblPr>
        <w:tblStyle w:val="TableGrid"/>
        <w:bidiVisual/>
        <w:tblW w:w="9905" w:type="dxa"/>
        <w:tblInd w:w="-616" w:type="dxa"/>
        <w:tblLook w:val="04A0" w:firstRow="1" w:lastRow="0" w:firstColumn="1" w:lastColumn="0" w:noHBand="0" w:noVBand="1"/>
      </w:tblPr>
      <w:tblGrid>
        <w:gridCol w:w="552"/>
        <w:gridCol w:w="8363"/>
        <w:gridCol w:w="990"/>
      </w:tblGrid>
      <w:tr w:rsidR="00895E91" w:rsidTr="00BB4E77">
        <w:tc>
          <w:tcPr>
            <w:tcW w:w="552" w:type="dxa"/>
            <w:shd w:val="clear" w:color="auto" w:fill="D0CECE" w:themeFill="background2" w:themeFillShade="E6"/>
            <w:vAlign w:val="center"/>
          </w:tcPr>
          <w:p w:rsidR="00895E91" w:rsidRPr="00DE1FEA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E1FE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رج</w:t>
            </w:r>
          </w:p>
        </w:tc>
        <w:tc>
          <w:tcPr>
            <w:tcW w:w="8363" w:type="dxa"/>
            <w:shd w:val="clear" w:color="auto" w:fill="D0CECE" w:themeFill="background2" w:themeFillShade="E6"/>
            <w:vAlign w:val="center"/>
          </w:tcPr>
          <w:p w:rsidR="00895E91" w:rsidRPr="00DE1FEA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</w:rPr>
            </w:pPr>
            <w:r w:rsidRPr="00DE1FEA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990" w:type="dxa"/>
            <w:shd w:val="clear" w:color="auto" w:fill="D0CECE" w:themeFill="background2" w:themeFillShade="E6"/>
            <w:vAlign w:val="center"/>
          </w:tcPr>
          <w:p w:rsidR="00895E91" w:rsidRPr="00DE1FEA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B Nazanin"/>
                <w:b/>
                <w:bCs/>
                <w:sz w:val="24"/>
                <w:szCs w:val="24"/>
              </w:rPr>
              <w:t>rfp</w:t>
            </w:r>
            <w:proofErr w:type="spellEnd"/>
          </w:p>
        </w:tc>
      </w:tr>
      <w:tr w:rsidR="00895E91" w:rsidTr="00BB4E77">
        <w:tc>
          <w:tcPr>
            <w:tcW w:w="552" w:type="dxa"/>
            <w:vAlign w:val="center"/>
          </w:tcPr>
          <w:p w:rsidR="00895E91" w:rsidRPr="00DE1FEA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  <w:rtl/>
              </w:rPr>
            </w:pPr>
            <w:r w:rsidRPr="00DE1FEA">
              <w:rPr>
                <w:rFonts w:ascii="Calibri" w:eastAsia="Times New Roman" w:hAnsi="Calibri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895E91" w:rsidRPr="00DE4902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امکان سنجی، طراحی و استقرار شبیه سازهای آموزش های مهارتی در کارگاههای آموزشی با اولویت صنایع خودرو، صنایع چوب ، تراشکاری و جوشکاری</w:t>
            </w:r>
          </w:p>
        </w:tc>
        <w:tc>
          <w:tcPr>
            <w:tcW w:w="990" w:type="dxa"/>
            <w:vAlign w:val="center"/>
          </w:tcPr>
          <w:p w:rsidR="00895E91" w:rsidRPr="00895E91" w:rsidRDefault="00895E91" w:rsidP="00895E91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  <w:lang w:bidi="fa-IR"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  <w:lang w:bidi="fa-IR"/>
              </w:rPr>
              <w:t>دانلود</w:t>
            </w:r>
          </w:p>
        </w:tc>
      </w:tr>
      <w:tr w:rsidR="00BB4E77" w:rsidTr="00BB4E77">
        <w:trPr>
          <w:trHeight w:val="596"/>
        </w:trPr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بررسی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اثربخشی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فرآیند</w:t>
            </w:r>
            <w:r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های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تدوین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اجرای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استانداردهای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مهارتی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در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مراکز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دولتی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غیر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دولتی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و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ارایه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الگوی بهبود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بهره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وری</w:t>
            </w:r>
            <w:r w:rsidRPr="00DE4902"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آن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rPr>
          <w:trHeight w:val="596"/>
        </w:trPr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پیاده سازی چرخه مدیریت بهره</w:t>
            </w:r>
            <w:r w:rsidRPr="00DE4902">
              <w:rPr>
                <w:rFonts w:ascii="Calibri" w:hAnsi="Calibri" w:cs="B Nazanin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وری در سازمان آموزش فنی و حرفه ای کشور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/>
                <w:color w:val="000000" w:themeColor="text1"/>
                <w:sz w:val="28"/>
                <w:szCs w:val="28"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تدوین سند برنامه</w:t>
            </w:r>
            <w:r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 xml:space="preserve"> ریزی</w:t>
            </w: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 xml:space="preserve"> نیروی انسانی سازمان آموزش فنی و حرفه ای کشور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تدوین سند توسعه مهارت مبتنی بر آمایش سرزمین و برنامه های توسعه اقتصادی و اجتماعی</w:t>
            </w:r>
            <w:r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(آمایش مهارتی)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سنجش سهم آموزشهای</w:t>
            </w:r>
            <w:r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 xml:space="preserve"> مهارتی سازمان آموزش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 xml:space="preserve"> فنی و حرفه ای </w:t>
            </w:r>
            <w:r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 xml:space="preserve">در 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 xml:space="preserve">اقتصاد کشور و ارائه </w:t>
            </w:r>
            <w:r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الگو</w:t>
            </w: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 xml:space="preserve"> برای افزایش آن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طراحی و استقرار ساختار آموزش و سنجش پروژه محور مبتنی بر سند حرفه (مطالعه موردی: صنعت ساختمان)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BB4E77" w:rsidRPr="00DE4902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color w:val="000000" w:themeColor="text1"/>
                <w:sz w:val="28"/>
                <w:szCs w:val="28"/>
                <w:rtl/>
              </w:rPr>
            </w:pPr>
            <w:r w:rsidRPr="00DE4902">
              <w:rPr>
                <w:rFonts w:ascii="Calibri" w:eastAsia="Times New Roman" w:hAnsi="Calibri" w:cs="B Nazanin" w:hint="cs"/>
                <w:color w:val="000000" w:themeColor="text1"/>
                <w:sz w:val="28"/>
                <w:szCs w:val="28"/>
                <w:rtl/>
              </w:rPr>
              <w:t>طراحی و استقرار نظام جامع مدیریت تجهیزات کارگاهی آموزش های فنی و حرفه ای</w:t>
            </w:r>
          </w:p>
        </w:tc>
        <w:tc>
          <w:tcPr>
            <w:tcW w:w="990" w:type="dxa"/>
            <w:vAlign w:val="center"/>
          </w:tcPr>
          <w:p w:rsidR="00BB4E77" w:rsidRPr="00895E91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eastAsia="Times New Roman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4E77" w:rsidRPr="00DE4902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/>
                <w:color w:val="000000" w:themeColor="text1"/>
                <w:sz w:val="28"/>
                <w:szCs w:val="28"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طراحی و استقرار</w:t>
            </w:r>
            <w:r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چارچوب صلاحیت حرفه ای ویژه مشاغل تخصصی سازمان آموزش فنی و حرفه ای کشور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4E77" w:rsidRPr="00895E91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4E77" w:rsidRPr="00DE4902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/>
                <w:color w:val="000000" w:themeColor="text1"/>
                <w:sz w:val="28"/>
                <w:szCs w:val="28"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 xml:space="preserve">مطالعات بازارکار، شناسایی و تعیین </w:t>
            </w:r>
            <w:r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 xml:space="preserve">اولویت </w:t>
            </w: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نیازهای آموزش فنی و حرفه ای کارجویان و شاغلین در سواحل مکران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4E77" w:rsidRPr="00895E91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  <w:tr w:rsidR="00BB4E77" w:rsidTr="00BB4E77">
        <w:tc>
          <w:tcPr>
            <w:tcW w:w="552" w:type="dxa"/>
            <w:vAlign w:val="center"/>
          </w:tcPr>
          <w:p w:rsidR="00BB4E77" w:rsidRPr="00BB4E77" w:rsidRDefault="00BB4E77" w:rsidP="00BB4E77">
            <w:pPr>
              <w:bidi/>
              <w:contextualSpacing/>
              <w:jc w:val="center"/>
              <w:rPr>
                <w:rFonts w:ascii="Calibri" w:eastAsia="Times New Roman" w:hAnsi="Calibri" w:cs="B Nazanin"/>
                <w:sz w:val="28"/>
                <w:szCs w:val="28"/>
                <w:rtl/>
              </w:rPr>
            </w:pPr>
            <w:r w:rsidRPr="00BB4E77">
              <w:rPr>
                <w:rFonts w:ascii="Calibri" w:eastAsia="Times New Roman" w:hAnsi="Calibri"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4E77" w:rsidRPr="00DE4902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/>
                <w:color w:val="000000" w:themeColor="text1"/>
                <w:sz w:val="28"/>
                <w:szCs w:val="28"/>
              </w:rPr>
            </w:pPr>
            <w:r w:rsidRPr="00DE4902">
              <w:rPr>
                <w:rFonts w:ascii="Calibri" w:hAnsi="Calibri" w:cs="B Nazanin" w:hint="cs"/>
                <w:color w:val="000000" w:themeColor="text1"/>
                <w:sz w:val="28"/>
                <w:szCs w:val="28"/>
                <w:rtl/>
              </w:rPr>
              <w:t>مطالعه تطبیقی و تدوین مدل بهره گیری از ظرفیت نهادهای عمومی برای توسعه آموزشهای مهارتی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4E77" w:rsidRPr="00895E91" w:rsidRDefault="00BB4E77" w:rsidP="00BB4E77">
            <w:pPr>
              <w:pStyle w:val="NormalWeb"/>
              <w:bidi/>
              <w:spacing w:before="0" w:beforeAutospacing="0" w:after="0" w:afterAutospacing="0" w:line="256" w:lineRule="auto"/>
              <w:jc w:val="center"/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</w:pPr>
            <w:r w:rsidRPr="00895E91">
              <w:rPr>
                <w:rFonts w:ascii="Calibri" w:hAnsi="Calibri" w:cs="B Nazanin" w:hint="cs"/>
                <w:color w:val="7030A0"/>
                <w:sz w:val="28"/>
                <w:szCs w:val="28"/>
                <w:u w:val="single"/>
                <w:rtl/>
              </w:rPr>
              <w:t>دانلود</w:t>
            </w:r>
          </w:p>
        </w:tc>
      </w:tr>
    </w:tbl>
    <w:p w:rsidR="002969B8" w:rsidRDefault="002969B8" w:rsidP="00D40A3F">
      <w:pPr>
        <w:bidi/>
      </w:pPr>
      <w:bookmarkStart w:id="0" w:name="_GoBack"/>
      <w:bookmarkEnd w:id="0"/>
    </w:p>
    <w:sectPr w:rsidR="002969B8" w:rsidSect="00DE1FE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A3F"/>
    <w:rsid w:val="001065A7"/>
    <w:rsid w:val="00211529"/>
    <w:rsid w:val="002969B8"/>
    <w:rsid w:val="007F2E62"/>
    <w:rsid w:val="00895E91"/>
    <w:rsid w:val="008E23A3"/>
    <w:rsid w:val="00AC0ECA"/>
    <w:rsid w:val="00BB4E77"/>
    <w:rsid w:val="00D40A3F"/>
    <w:rsid w:val="00DE4902"/>
    <w:rsid w:val="00E47E38"/>
    <w:rsid w:val="00E6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91C7"/>
  <w15:chartTrackingRefBased/>
  <w15:docId w15:val="{E3BAB652-5A44-48CB-9826-F25BD6B0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0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E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Abaszadeh</dc:creator>
  <cp:keywords/>
  <dc:description/>
  <cp:lastModifiedBy>Raziyeh Abaszadeh</cp:lastModifiedBy>
  <cp:revision>12</cp:revision>
  <dcterms:created xsi:type="dcterms:W3CDTF">2022-09-19T03:52:00Z</dcterms:created>
  <dcterms:modified xsi:type="dcterms:W3CDTF">2022-10-03T09:58:00Z</dcterms:modified>
</cp:coreProperties>
</file>